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ED467D">
        <w:rPr>
          <w:b/>
        </w:rPr>
        <w:t>, 11-11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ED467D">
        <w:t>December 1, 2011</w:t>
      </w:r>
    </w:p>
    <w:p w:rsidR="00F34606" w:rsidRDefault="00F34606" w:rsidP="00F34606">
      <w:pPr>
        <w:ind w:hanging="900"/>
        <w:rPr>
          <w:b/>
        </w:rPr>
      </w:pPr>
    </w:p>
    <w:p w:rsidR="008A2E31" w:rsidRDefault="00F34606" w:rsidP="008A2E31">
      <w:pPr>
        <w:ind w:left="1440" w:hanging="2340"/>
      </w:pPr>
      <w:r>
        <w:rPr>
          <w:b/>
        </w:rPr>
        <w:t xml:space="preserve">SUBJECT: </w:t>
      </w:r>
      <w:r>
        <w:tab/>
      </w:r>
      <w:r w:rsidR="008A2E31">
        <w:t xml:space="preserve">Annual Re-Evaluation Requirements </w:t>
      </w:r>
    </w:p>
    <w:p w:rsidR="008A2E31" w:rsidRDefault="008A2E31" w:rsidP="008A2E31">
      <w:pPr>
        <w:ind w:left="1440" w:hanging="2340"/>
      </w:pPr>
    </w:p>
    <w:p w:rsidR="008A2E31" w:rsidRPr="00ED467D" w:rsidRDefault="008A2E31" w:rsidP="00ED467D">
      <w:pPr>
        <w:ind w:left="-900"/>
        <w:rPr>
          <w:color w:val="000000"/>
        </w:rPr>
      </w:pPr>
      <w:r>
        <w:t xml:space="preserve">As a result of mandatory revisions regarding the Title IV-E plan, </w:t>
      </w:r>
      <w:hyperlink r:id="rId10" w:history="1">
        <w:r w:rsidRPr="00ED467D">
          <w:rPr>
            <w:rStyle w:val="Hyperlink"/>
          </w:rPr>
          <w:t>SOP 12.16 Annual Re-Evaluation</w:t>
        </w:r>
      </w:hyperlink>
      <w:r>
        <w:t xml:space="preserve"> has been revised in order to bring the agency into compliance with this plan.  An </w:t>
      </w:r>
      <w:hyperlink r:id="rId11" w:history="1">
        <w:r w:rsidR="00ED467D">
          <w:rPr>
            <w:rStyle w:val="Hyperlink"/>
          </w:rPr>
          <w:t>Annual Re-Evaluation Coversheet</w:t>
        </w:r>
      </w:hyperlink>
      <w:r w:rsidR="00ED467D">
        <w:rPr>
          <w:color w:val="000000"/>
        </w:rPr>
        <w:t xml:space="preserve"> </w:t>
      </w:r>
      <w:r>
        <w:t xml:space="preserve">has been created to assist staff in ensuring that all required documentation is included in the annual strengths/needs packet.  The content revisions include new information explaining TWIST procedures, as well as information regarding the Resource Recommendation and how to ensure that </w:t>
      </w:r>
      <w:proofErr w:type="gramStart"/>
      <w:r>
        <w:t>staff are</w:t>
      </w:r>
      <w:proofErr w:type="gramEnd"/>
      <w:r>
        <w:t xml:space="preserve"> completing all steps to ensure their work is accurately represented.  </w:t>
      </w:r>
    </w:p>
    <w:p w:rsidR="008A2E31" w:rsidRDefault="008A2E31" w:rsidP="008A2E31">
      <w:pPr>
        <w:ind w:left="-900"/>
      </w:pPr>
    </w:p>
    <w:p w:rsidR="00F34606" w:rsidRDefault="008A2E31" w:rsidP="008A2E31">
      <w:pPr>
        <w:ind w:left="-900"/>
      </w:pPr>
      <w:r>
        <w:t xml:space="preserve">Please review these revisions and direct any questions regarding them to </w:t>
      </w:r>
      <w:hyperlink r:id="rId12" w:history="1">
        <w:r w:rsidRPr="00B60EA7">
          <w:rPr>
            <w:rStyle w:val="Hyperlink"/>
          </w:rPr>
          <w:t>jennie.willson@ky.gov</w:t>
        </w:r>
      </w:hyperlink>
      <w:r>
        <w:t xml:space="preserve">.  She may also be reached by telephone at (502) 564-2147 ext. 4170. </w:t>
      </w:r>
    </w:p>
    <w:p w:rsidR="001F1F10" w:rsidRDefault="001F1F10"/>
    <w:sectPr w:rsidR="001F1F10" w:rsidSect="00F346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31" w:rsidRDefault="008A2E31" w:rsidP="00F34606">
      <w:r>
        <w:separator/>
      </w:r>
    </w:p>
  </w:endnote>
  <w:endnote w:type="continuationSeparator" w:id="0">
    <w:p w:rsidR="008A2E31" w:rsidRDefault="008A2E31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31" w:rsidRDefault="008A2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31" w:rsidRDefault="008A2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48185E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31" w:rsidRDefault="008A2E31" w:rsidP="00F34606">
      <w:r>
        <w:separator/>
      </w:r>
    </w:p>
  </w:footnote>
  <w:footnote w:type="continuationSeparator" w:id="0">
    <w:p w:rsidR="008A2E31" w:rsidRDefault="008A2E31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31" w:rsidRDefault="004818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494.9pt;height:164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31" w:rsidRDefault="004818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494.9pt;height:164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48185E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48185E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B6FE8"/>
    <w:rsid w:val="001E5FED"/>
    <w:rsid w:val="001F1F10"/>
    <w:rsid w:val="00221254"/>
    <w:rsid w:val="00235179"/>
    <w:rsid w:val="003330E9"/>
    <w:rsid w:val="0038680D"/>
    <w:rsid w:val="004675F9"/>
    <w:rsid w:val="0048185E"/>
    <w:rsid w:val="004B79EA"/>
    <w:rsid w:val="004E71B1"/>
    <w:rsid w:val="00595A0F"/>
    <w:rsid w:val="005B5FF2"/>
    <w:rsid w:val="00697083"/>
    <w:rsid w:val="006C6989"/>
    <w:rsid w:val="008A2E31"/>
    <w:rsid w:val="008A4DA4"/>
    <w:rsid w:val="008B5114"/>
    <w:rsid w:val="008C01FC"/>
    <w:rsid w:val="009F5E29"/>
    <w:rsid w:val="00A669C9"/>
    <w:rsid w:val="00BF28D2"/>
    <w:rsid w:val="00C26BDB"/>
    <w:rsid w:val="00C52129"/>
    <w:rsid w:val="00CB1E0A"/>
    <w:rsid w:val="00CC5368"/>
    <w:rsid w:val="00EB0418"/>
    <w:rsid w:val="00ED467D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e.willson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Resources/Related%20Resources%20Library/Re-Evaluation%20Coversheet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nuals.sp.chfs.ky.gov/chapter%2012/23/Pages/1216AnnualRe-Evaluation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2019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8E37E-8AD3-4E1B-BF8F-7DA42234F7B2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1251</Characters>
  <Application>Microsoft Office Word</Application>
  <DocSecurity>0</DocSecurity>
  <Lines>10</Lines>
  <Paragraphs>2</Paragraphs>
  <ScaleCrop>false</ScaleCrop>
  <Company>Commonwealth of Kentucky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11-11 Annual Re-Evaluation Requirements</dc:title>
  <dc:creator>sarah.cooper</dc:creator>
  <cp:lastModifiedBy>sarah.cooper</cp:lastModifiedBy>
  <cp:revision>2</cp:revision>
  <dcterms:created xsi:type="dcterms:W3CDTF">2011-12-01T16:27:00Z</dcterms:created>
  <dcterms:modified xsi:type="dcterms:W3CDTF">2011-12-01T16:27:00Z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2019</vt:lpwstr>
  </property>
</Properties>
</file>